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208</w:t>
      </w:r>
    </w:p>
    <w:p>
      <w:r>
        <w:t>Bundesgericht (BGE), 1990-12-13, DE</w:t>
      </w:r>
    </w:p>
    <w:p>
      <w:r>
        <w:rPr>
          <w:b/>
        </w:rPr>
        <w:t xml:space="preserve">Quelle: </w:t>
      </w:r>
      <w:r>
        <w:t>https://mcp.opencaselaw.ch/entscheid/bge_134 V 208</w:t>
      </w:r>
    </w:p>
    <w:p>
      <w:r>
        <w:t>FR: ATF 134 V 208</w:t>
      </w:r>
    </w:p>
    <w:p>
      <w:r>
        <w:t>IT: DTF 134 V 208</w:t>
      </w:r>
    </w:p>
    <w:p>
      <w:pPr>
        <w:pStyle w:val="Heading2"/>
      </w:pPr>
      <w:r>
        <w:t>Regeste</w:t>
      </w:r>
    </w:p>
    <w:p>
      <w:r>
        <w:t>Regeste Art. 19 Abs. 3 BVG und Art. 20 BVV 2 (in den bis Ende 2004 gültig gewesenen Fassungen); Art. 46 der st. gallischen Verordnung vom 5. September 1989 über die Versicherungskasse für das Staatspersonal (VVK/ SG); Umfang der Hinterlassenenleistung an die geschiedene Person. Art. 46 Satz 1 VVK/SG, wonach sich die Ansprüche der geschiedenen Ehegatten "in Voraussetzung und Höhe nach den Vorschriften des BVG über die Ansprüche der geschiedenen Frau" richten, beschränkt den Anspruch auf Hinterlassenenleistungen auf die Minimalleistungen gemäss BVG, d.h. 60 % der obligatorischen BVG-Rente des verstorbenen Ex-Ehegatten (E. 3). Die - in casu gestützt auf Art. 46 Satz 2 VVK/SG anwendbare - Kürzungsregelung des Art. 20 Abs. 2 BVV 2 erlaubt die Anrechnung nur solcher Leistungen, welche durch den Tod des geschiedenen, unterhaltspflichtigen Ehegatten ausgelöst bzw. beeinflusst werden. Die AHV-Altersrente ist daher nicht bzw. lediglich im Umfange einer allfälligen, durch den Todesfall bedingten Erhöhung anrechenbar (E. 4).</w:t>
      </w:r>
    </w:p>
    <w:p>
      <w:pPr>
        <w:pStyle w:val="Heading2"/>
      </w:pPr>
      <w:r>
        <w:t>Erwägungen</w:t>
      </w:r>
    </w:p>
    <w:p>
      <w:r>
        <w:rPr>
          <w:b/>
        </w:rPr>
        <w:t>E. 1</w:t>
      </w:r>
    </w:p>
    <w:p>
      <w:r>
        <w:t>Der Beschwerdeführer stellt im Haupt- und Eventualstandpunkt ein Feststellungsbegehren, das indessen im Lichte der Beschwerdebegründung (vgl. Urteil des Eidg. Versicherungsgerichts I 138/02 vom 27. Oktober 2003, E. 3.2.1 nicht publ. in BGE 130 V 61 mit weiteren Hinweisen) als Leistungsbegehren auf Abweisung der Klage zu interpretieren und als solches zulässig ist. BGE 134 V 208 S. 211</w:t>
      </w:r>
    </w:p>
    <w:p>
      <w:r>
        <w:rPr>
          <w:b/>
        </w:rPr>
        <w:t>E. 2.1</w:t>
      </w:r>
    </w:p>
    <w:p>
      <w:r>
        <w:t>Ausser Frage steht, dass die Beschwerdegegnerin Anspruch auf Hinterlassenenleistungen im obligatorischen Umfang gemäss Art. 20 BVV 2 (in der bis 31. Dezember 2004 gültig gewesenen Fassung; vgl. Urteil des Eidg. Versicherungsgerichts B 89/05 vom 13. Februar 2006, E. 1.1) hat, welche Norm der Bundesrat gestützt auf die gesetzliche Delegation in Art. 19 Abs. 3 BVG (SR 831.40; in der bis 31. Dezember 2004 gültig gewesenen Fassung) erlassen hat. Streitig und zu prüfen ist, ob allenfalls ein weitergehender Leistungsanspruch gestützt auf Art. 46 der st. gallischen Verordnung vom 5. September 1989 über die Versicherungskasse für das Staatspersonal (VVK/SG; sGS 143.7) besteht. Die Auslegung dieser kantonalen Bestimmung des öffentlichen Berufsvorsorgerechts prüft das Bundesgericht - auf qualifizierte Rüge hin ( Art. 106 Abs. 2 BGG ) - frei (vgl. BGE 134 V 199 E. 1.2).</w:t>
      </w:r>
    </w:p>
    <w:p>
      <w:r>
        <w:rPr>
          <w:b/>
        </w:rPr>
        <w:t>E. 2.2</w:t>
      </w:r>
    </w:p>
    <w:p>
      <w:r>
        <w:t>Da es sich bei der Versicherungskasse um eine öffentlich-rechtliche Vorsorgeeinrichtung handelt ( Art. 1 Abs. 2 VVK /SG), hat die Auslegung der einschlägigen Bestimmungen der VVK/SG - anders als die Auslegung der Vorsorgereglemente privatrechtlicher Versicherungsträger - nach den gewöhnlichen Regeln der Gesetzesauslegung zu erfolgen ( BGE 133 V 314 E. 4.1 S. 316 f. mit Hinweisen).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65 E. 4.2 S. 71; BGE 130 V 229 E. 2.2 S. 232, BGE 130 V 294 E. 5.3.1 S. 295, 424 E. 3.2 S. 428 f., 472 E. 6.5.1 S. 475, 479 E. 5.2 S. 484; BGE 129 V 283 E. 4.2 S. 284 f.).</w:t>
      </w:r>
    </w:p>
    <w:p>
      <w:r>
        <w:rPr>
          <w:b/>
        </w:rPr>
        <w:t>E. 3.1</w:t>
      </w:r>
    </w:p>
    <w:p>
      <w:r>
        <w:t>Art. 46 VVK /SG lautet: "Die Ansprüche der geschiedenen Ehegatten richten sich in Voraussetzung und Höhe nach den Vorschriften des BVG über die Ansprüche der BGE 134 V 208 S. 212 geschiedenen Frau. Die Leistungen werden im Umfang des nach den Vorschriften des BVG Zulässigen gekürzt."</w:t>
      </w:r>
    </w:p>
    <w:p>
      <w:r>
        <w:rPr>
          <w:b/>
        </w:rPr>
        <w:t>E. 3.1.1</w:t>
      </w:r>
    </w:p>
    <w:p>
      <w:r>
        <w:t>Gemäss Vorinstanz und Beschwerdegegnerin bezieht sich der in Art. 46 Satz 1 VVK /SG enthaltene Verweis auf die "Vorschriften des BVG über die Ansprüche der geschiedenen Frau" lediglich auf die Anspruchsvoraussetzungen und den Prozentsatz der Anspruchshöhe, d.h. 60 % der Altersrente ( Art. 21 Abs. 2 BVG in Verbindung mit Art. 20 Abs. 1 BVV 2 [je in der bis 31. Dezember 2004 gültig gewesenen Fassung]; vgl. Urteil B 89/05 vom 13. Februar 2006, E. 2.4.1); deren konkrete Höhe dagegen bemesse sich nicht nach dem "Quantitativ der BVG-Altersguthaben", sondern nach den weitergehenden Bestimmungen der VVK/SG. Das kantonale Gericht hat diesen Standpunkt im Wesentlichen damit begründet, die Versicherungskasse begrenze ihre Leistungen - als eine sog. "umhüllende" Vorsorgeeinrichtung - nicht auf das BVG- Minimum, sondern decke allgemein weitergehende (vor- und überobligatorische) Ansprüche ab. Grundlage der Leistungsberechnung bilde die versicherte Besoldung in Verbindung mit einem nach dem Alter abgestuften Rentensatz; die Bemessung der einzelnen Leistungen (Invalidenrente, Ehegattenrente, Kinderrente) erfolge in den Art. 40, 45 und 51 VVK /SG immer in Relation zur (überobligatorischen) Altersrente. Würde für die Rente der geschiedenen Ehefrau eine ganz andere Berechnungsbasis gelten, so hätte der Verordnungsgeber dies ausdrücklich anordnen müssen. Es entspreche jedoch nicht dem Sinn der VVK/SG, geschiedene Ehegatten schlechter zu behandeln als verwitwete Ehegatten, mit Ausnahme der Kürzungsmöglichkeit nach Art. 20 Abs. 2 BVV 2 . Basis und Bezugsgrösse für die Berechnung der Rentenleistungen - auch der Hinterlassenenrente des geschiedenen Ehegatten - bleibe stets die Altersrente gemäss VVK/SG.</w:t>
      </w:r>
    </w:p>
    <w:p>
      <w:r>
        <w:rPr>
          <w:b/>
        </w:rPr>
        <w:t>E. 3.1.2</w:t>
      </w:r>
    </w:p>
    <w:p>
      <w:r>
        <w:t>Nach Auffassung des Beschwerdeführers dagegen verweist Art. 46 Satz 1 VVK /SG integral auf die BVG-Minimalleistungen; die Rente der Beschwerdegegnerin gemäss Art. 46 VVK /SG sei mithin auf der Grundlage des BVG-Altersguthabens (des Verstorbenen) zu berechnen. Dies ergebe sich namentlich aus den letztinstanzlich beigelegten Gesetzesmaterialien.</w:t>
      </w:r>
    </w:p>
    <w:p>
      <w:r>
        <w:rPr>
          <w:b/>
        </w:rPr>
        <w:t>E. 3.2</w:t>
      </w:r>
    </w:p>
    <w:p>
      <w:r>
        <w:t>Der Wortlaut des Art. 46 VVK /SG lässt nach den zutreffenden vorinstanzlichen Erwägungen beide genannten Lesarten zu, weshalb der Norminhalt unter Berücksichtigung weiterer Auslegungselemente zu ermitteln ist (vgl. E. 2.2 hievor und E. 3.3 ff. hiernach). BGE 134 V 208 S. 213 Bereits aus dem Verordnungstext wird aber deutlich, dass die Bemessungsbasis für die Ansprüche des geschiedenen Ehegatten einerseits und für die Kinder-, Ehegatten- und Invalidenrenten andererseits entgegen der Argumentation der Vorinstanz (E. 3.1.1 hievor) nicht die gleiche ist: Während Art. 40 (Kinderrente), Art. 45 (Ehegattenrente) und Art. 51 VVK /SG (Invalidenrente) ausdrücklich die - vorstehend in Art. 34 VVK /SG geregelte - "Altersrente" als Bemessungsbasis nennen, verweist Art. 46 VVK /SG gerade nicht auf die Altersrente gemäss VVK/SG, sondern sowohl in Bezug auf die Voraussetzungen als auch die Höhe der Ansprüche auf das BVG.</w:t>
      </w:r>
    </w:p>
    <w:p>
      <w:r>
        <w:rPr>
          <w:b/>
        </w:rPr>
        <w:t>E. 3.3</w:t>
      </w:r>
    </w:p>
    <w:p>
      <w:r>
        <w:t>Die gesetzessystematisch klare Abgrenzung der Ehegattenrente gemäss Art. 45 VVK /SG ("70 Prozent der Alters- oder der Invalidenrente") vom Anspruch des geschiedenen Ehegatten gemäss Art. 46 VVK /SG ("richten sich ... nach den Vorschriften des BVG") spricht für eine vom Verordnungsgeber beabsichtigte Ungleichbehandlung von verwitweten und geschiedenen Ehegatten. Eine solche ist denn auch bereits insofern vorgesehen, als die Rente des verwitweten Ehegatten 70 % der Altersrente ( Art. 45 VVK / SG), diejenige des geschiedenen Ehegatten jedoch - entsprechend der Regelung des BVG ( Art. 46 VVK /SG in Verbindung mit Art. 21 Abs. 2 BVG und Art. 20 Abs. 1 BVV 2 ) - nur 60 % beträgt. Ungeachtet der hier umstrittenen Frage, worauf sich diese 60 % beziehen, steht mithin ausser Frage, dass der Verordnungsgeber die verwitweten und die geschiedenen Ehegatten bezüglich der Höhe der Hinterlassenenrenten nicht gleich behandeln wollte.</w:t>
      </w:r>
    </w:p>
    <w:p>
      <w:r>
        <w:rPr>
          <w:b/>
        </w:rPr>
        <w:t>E. 3.4</w:t>
      </w:r>
    </w:p>
    <w:p>
      <w:r>
        <w:t>Die unterschiedliche Behandlung der geschiedenen und verwitweten Ehegatten ist weder gesetz- noch verfassungswidrig. Im Gegenteil trägt sie sachlich dem Umstand Rechnung, dass mit der Scheidung grundsätzlich (unter Vorbehalt der scheidungsrechtlich festgelegten Unterhaltsleistungen) die Beziehungen zwischen den Ehegatten beendet werden (Urteile des Eidg. Versicherungsgerichts B 112/05 vom 22. Dezember 2006, E. 4.2 und 4.3; B 85/04 vom 20. Dezember 2005, E. 3.2 und 3.4.2; B 87/04 vom 21. Dezember 2005, E. 5.5), welcher Gesichtspunkt für die Auslegung von Vorsorgereglementen herangezogen werden kann (Urteil des Eidg. Versicherungsgerichts B 9/04 vom 28. Dezember 2005, E. 2.4.2). Sie lässt sich übrigens auch versicherungstechnisch rechtfertigen, riskiert doch die Vorsorgeeinrichtung, dass sie bei wiederholter Verheiratung einer versicherten Person mehrere Hinterlassenenrenten ausrichten muss. Es ist daher nicht ungewöhnlich, dass ein BGE 134 V 208 S. 214 Reglement die Ansprüche der geschiedenen Hinterlassenen auf das BVG- Minimum beschränkt, auch wenn im Übrigen weitergehende Leistungen gewährt werden ( BGE 119 V 289 E. 6b S. 295, dt. Übersetzung publ. in: Pra 83/1994 Nr. 100 S. 346).</w:t>
      </w:r>
    </w:p>
    <w:p>
      <w:r>
        <w:rPr>
          <w:b/>
        </w:rPr>
        <w:t>E. 3.5.1</w:t>
      </w:r>
    </w:p>
    <w:p>
      <w:r>
        <w:t>Das Bundesgericht hat in ständiger Rechtsprechung Reglementsbestimmungen, wonach die geschiedene Witwe Anspruch auf die Mindestleistungen gemäss BVG hat, so ausgelegt, dass dieser Anspruch die nach BVG tiefstmöglichen Leistungen gewährt ( BGE 119 V 289 E. 6b S. 294 f.; Urteile des Eidg. Versicherungsgerichts B 85/04 vom 20. Dezember 2005, E. 3.2; B 87/04 vom 21. Dezember 2005, E. 5; B 112/05 vom 22. Dezember 2006, E. 4.1; vgl. auch Urteil B 10/93 vom 28. Februar 1994, E. 3b, publ. in: SVR 1994 BVG Nr. 8 S. 21). Es hat in diesem Zusammenhang namentlich auch festgehalten, die meisten registrierten Vorsorgeeinrichtungen würden in den einschlägigen Reglementen den Anspruch der geschiedenen Frau auf das gesetzliche Minimum beschränken, auch wenn für die Witwen "im eigentlichen Sinn" günstigere Leistungen vorgesehen seien ( BGE 119 V 289 E. 6b S. 294 f., dt. Übersetzung publ. in: Pra 83/1994 Nr. 100 S. 346).</w:t>
      </w:r>
    </w:p>
    <w:p>
      <w:r>
        <w:rPr>
          <w:b/>
        </w:rPr>
        <w:t>E. 3.5.2</w:t>
      </w:r>
    </w:p>
    <w:p>
      <w:r>
        <w:t>Im Unterschied zu den in den zitierten Urteilen massgebenden Reglementen spricht Art. 46 VVK /SG allerdings nicht ausdrücklich von Mindestleistungen. Im Urteil B 89/05 vom 13. Februar 2006, auf das sich die Vorinstanz beruft, hat das Eidg. Versicherungsgericht eine Reglementsbestimmung, wonach die geschiedene Frau Anspruch auf eine "Witwenrente gemäss BVG" hat, so ausgelegt, dass damit auf den Prozentsatz gemäss Art. 21 BVG verwiesen, dieser aber nach der (weitergehenden) reglementarischen Altersrente bemessen werde. Ebenso hat es die in den (damaligen) Pensionskassenregelungen des Bundes enthaltene Bestimmung, wonach die Ehegattenrente der Witwenrente nach BVG entspricht, als Verweis auf den Prozentsatz der Hinterlassenenrente für den geschiedenen Ehegatten nach Art. 21 BVG ausgelegt; Bezugsgrösse sei aber die reglementarische Alters- oder Invalidenrente (Urteile des Eidg. Versicherungsgerichts B 59/99 vom 22. Mai 2002, E. 3b; B 52/00 vom 15. Januar 2001, E. 2b). Diese Urteile wurden ausser mit dem Hinweis auf den (im hier zu beurteilenden Fall freilich nicht eindeutigen, vgl. vorne E. 3.2) Wortlaut einerseits damit begründet, dass der Formulierung sonst auch eine zeitliche Bedeutung zukäme (weil die vorobligatorisch erworbenen BGE 134 V 208 S. 215 Altersgutschriften unberücksichtigt blieben), was Gegenstand spezifischer Übergangsbestimmungen hätte sein müssen (Urteil B 89/05 vom 13. Februar 2006, E. 2.4.2). Andererseits erwog das Eidg. Versicherungsgericht, bei der Hinterlassenenleistung an geschiedene Personen handle es sich um eine eigenständige, vom BVG losgelöste Leistung, was sich bereits daraus ergebe, dass sie im Unterschied zum BVG ( Art. 19 Abs. 3 BVG in Verbindung mit Art. 20 BVV 2 [je in der bis 31. Dezember 2004 gültig gewesenen Fassungen]) auch dem geschiedenen Ehemann zukommen könne (Urteile B 59/99 vom 22. Mai 2002, E. 3b; B 52/00 vom 15. Januar 2001, E. 2b). Zu diesen Begründungselementen ist jedoch festzuhalten, dass auch diejenigen Regelungen, welche die Leistungen der geschiedenen Ehegatten ausdrücklich auf das BVG-Minimum beschränken (s. vorne E. 3.5.1), sich in ihren Übergangsbestimmungen nicht zum zeitlichen Aspekt dieser Beschränkung äussern. Sodann ist die in der hier massgebenden Fassung der VVK/SG - anders als in der ursprünglichen Fassung der VVK/SG (vom 11. Dezember 1984) und des BVG (vom 25. Juni 1982) - enthaltene Ausweitung des Rentenanspruchs auf den geschiedenen Ehemann darauf zurückzuführen, dass eine anderslautende Regelung verfassungswidrig wäre ( Art. 8 Abs. 3 BV ; BGE 123 V 189 E. 4f S. 192; BGE 116 V 198 E. II.2 S. 207 ff.) und daher vom kantonalen Verordnungsgeber anzupassen war ( Art. 2 ÜbBest. aBV [ Art. 49 Abs. 1 BV ]; vgl. E. 3.6 hiernach); demgegenüber stand einer Korrektur der analogen Regelung von aArt. 19 Abs. 3 BVG durch das Bundesgericht Art. 190 BV (bzw. aArt. 191 BV und Art. 114 bis Abs. 3 aBV ) entgegen. Dass gemäss Art. 46 VVK /SG auch der geschiedene Ehegatte eine Hinterlassenenrente beanspruchen kann, bedeutet mithin nicht, dass der st. gallische Verordnungsgeber damit eine eigenständige, vom BVG völlig losgelöste Leistung schaffen wollte; eine solche Annahme stünde vielmehr im Gegensatz zum ausdrücklichen Verweis auf das BVG in Art. 46 VVK /SG.</w:t>
      </w:r>
    </w:p>
    <w:p>
      <w:r>
        <w:rPr>
          <w:b/>
        </w:rPr>
        <w:t>E. 3.6.1</w:t>
      </w:r>
    </w:p>
    <w:p>
      <w:r>
        <w:t>Zu beachten sind schliesslich die Materialien zur VVK/SG, welche der Beschwerde beigelegt sind (vgl. E. 3.1.2 hievor). Dabei handelt es sich entgegen der Auffassung der Beschwerdegegnerin nicht um unzulässige Noven ( Art. 99 Abs. 1 BGG ): Das Novenverbot gilt für neue Tatsachen und Beweismittel, bezieht sich mithin auf die Sachverhaltsebene (ULRICH MEYER, in: Niggli/Uebersax/ Wiprächtiger [Hrsg.], Basler Kommentar zum BGG, Basel 2008, BGE 134 V 208 S. 216 N. 19 ff. zu Art. 99 BGG ). Materialien betreffen demgegenüber die Auslegung von Rechtsbegriffen; sie gehören somit zur Rechtsanwendung und können deshalb auch erst letztinstanzlich vorgebracht werden (vgl. MEYER, a.a.O., N. 23 zu Art. 99 BGG ).</w:t>
      </w:r>
    </w:p>
    <w:p>
      <w:r>
        <w:rPr>
          <w:b/>
        </w:rPr>
        <w:t>E. 3.6.2</w:t>
      </w:r>
    </w:p>
    <w:p>
      <w:r>
        <w:t>In der Botschaft vom 11. Dezember 1984 zur Verordnung über die Versicherungskasse für das Staatspersonal wies der Regierungsrat darauf hin, dass infolge des Inkrafttretens des BVG die (alte) Verordnung über die Versicherungskasse für das Staatspersonal anzupassen sei (S. 1). Zu den wesentlichen Postulaten des BVG gehörten Ansprüche der geschiedenen Frau auf Vorsorgeleistungen (S. 4). Dementsprechend führte der kantonale Verordnungsgeber einen neuen Art. 27 bis ein mit dem Wortlaut: "Die Ansprüche der geschiedenen Frau richten sich nach den Vorschriften des BVG." Nach den Erläuterungen des Regierungsrates handelte es sich dabei um eine "Anpassung an Art. 19 Abs. 2 BVG und Uebernahme von Art. 20 BVV 2 " (a.a.O., S. 17). Mit der späteren Totalrevision von 1989 wurden u.a. die "vollständige Gleichstellung von Mann und Frau als Auswirkung von Art. 4 Abs. 2 der Bundesverfassung" (u.a. gleiche Witwen- und Witwerrente) und die Herstellung der Konformität mit den zwingenden Vorschriften des BVG beabsichtigt (Botschaft des Regierungsrates vom 5. September 1989 zur Verordnung über die Versicherungskasse für das Staatspersonal, S. 3). Diese Materialien lassen zwar nicht auf den konkreten Willen des historischen Verordnungsgebers zu Art. 46 VVK /SG schliessen, bestärken aber doch die Darstellung des Beschwerdeführers, wonach mit den Änderungen bezüglich der Leistungen an den geschiedenen Ehegatten das kantonale Recht gezielt an die übergeordneten Bestimmungen des Bundesrechts (BVG sowie Art. 4 Abs. 2 aBV ) angepasst werden sollte. Ursprünglich zu Gunsten der geschiedenen Ehegatten ins Auge gefasste Verbesserungen (vgl. Erster Bericht des Finanzdepartements an den Regierungsrat zur Revision der Verordnung über die Versicherungskasse für das Staatspersonal, Entwurf vom 24. Februar 1989, S. 33) wurden in der Folge nicht realisiert. Anhaltspunkte dafür, dass für die geschiedenen Ehegatten überobligatorische Leistungen beabsichtigt gewesen wären, ergeben sich aus den Materialien keine, entgegen der Auffassung der Beschwerdegegnerin namentlich auch nicht daraus, dass in einer Fussnote zu Art. 46 VVK /SG auf Art. 19 Abs. 3, Art. 21 und 24 BVG sowie Art. 20 BVV 2 hingewiesen wird (s. Botschaft des Regierungsrates vom 5. September 1989, S. 42, Fn. 18); die damals BGE 134 V 208 S. 217 geltende Fassung des Art. 21 Abs. 2 BVG sah eine Witwenrente in der Höhe von 60 % der "Altersrente" vor, womit - insbesondere bei systematischer Auslegung - auf die nach den Art. 14 ff. BVG berechnete Altersrente (mithin auf das Obligatorium) Bezug genommen wird.</w:t>
      </w:r>
    </w:p>
    <w:p>
      <w:r>
        <w:rPr>
          <w:b/>
        </w:rPr>
        <w:t>E. 3.7</w:t>
      </w:r>
    </w:p>
    <w:p>
      <w:r>
        <w:t>Im Lichte der verschiedenen Auslegungselemente ergibt sich, dass Art. 46 VVK /SG der Beschwerdegegnerin einen Rentenanspruch im Umfang von 60 % der obligatorischen BVG-Rente ihres geschiedenen Ehemannes einräumt.</w:t>
      </w:r>
    </w:p>
    <w:p>
      <w:r>
        <w:rPr>
          <w:b/>
        </w:rPr>
        <w:t>E. 4</w:t>
      </w:r>
    </w:p>
    <w:p>
      <w:r>
        <w:t>Umstritten ist weiter die Tragweite des Art. 46 Satz 2 VVK / SG, wonach die Leistungen "im Umfang des nach den Vorschriften des BVG Zulässigen" gekürzt werden. Ausser Frage steht dabei, dass sich der Verweis in Art. 46 Satz 2 VVK /SG auf den einschlägigen Art. 20 Abs. 2 BVV 2 bezieht.</w:t>
      </w:r>
    </w:p>
    <w:p>
      <w:r>
        <w:rPr>
          <w:b/>
        </w:rPr>
        <w:t>E. 4.1</w:t>
      </w:r>
    </w:p>
    <w:p>
      <w:r>
        <w:t>Gemäss Art. 20 Abs. 2 BVV 2 kann die Leistung der Vorsorgeeinrichtung um jenen Betrag gekürzt werden, um den sie zusammen mit den Leistungen der übrigen Versicherungen, insbesondere AHV und IV, den Anspruch aus dem Scheidungsurteil übersteigt. Nach Auffassung des Beschwerdeführers fällt unter die anrechenbaren Leistungen auch die der Beschwerdegegnerin ausgerichtete, den Unterhaltsanspruch aus dem Scheidungsurteil betragsmässig übersteigende AHV-Altersrente mit der Folge, dass kein vorsorgerechtlicher Rentenanspruch bestünde. Die Vorinstanz hat eine entsprechende Anrechnung unter Berufung auf das Urteil des Eidg. Versicherungsgerichts B 6/99 vom 11. Juni 2001 (publ. in: SVR 2001 BVG Nr. 19 S. 73 = SZS 2003 S. 52) abgelehnt. In jenem Urteil erwog das Eidg. Versicherungsgericht, Art. 20 BVV 2 , einschliesslich der Kürzungsmöglichkeit gemäss Abs. 2, bezwecke den Ersatz des Versorgerschadens, den die geschiedene Frau durch den Tod des früheren Ehegatten und den damit verbundenen Wegfall der Unterhaltsbeiträge erleide. Solange die geschiedene Ehefrau eine Witwenrente der AHV beziehe, habe die Vorsorgeeinrichtung nur den zufolge des Wegfalls der Unterhaltsbeiträge allenfalls verbleibenden Versorgerschaden auszugleichen. Für die Beurteilung des Anspruchs auf eine Witwenrente der beruflichen Vorsorge sei daher entscheidend, ob der durch den Tod des früheren Ehemannes erlittene Versorgerschaden durch neu entstandene Leistungsansprüche gegenüber anderen Versicherungen ausgeglichen werde. Dementsprechend wurde im genannten Urteil die (bereits vor dem BGE 134 V 208 S. 218 Todesfall ausgerichtete und durch diesen nicht beeinflusste) AHV- Altersrente im Rahmen von Art. 20 Abs. 2 BVV 2 nicht berücksichtigt. Das Eidg. Versicherungsgericht beschränkte damit die Anrechenbarkeit implizit auf kongruente Leistungen (vgl. HANS MICHAEL RIEMER/GABRIELA RIEMER-KAFKA, Das Recht der beruflichen Vorsorge in der Schweiz, 2. Aufl., Bern 2006, S. 155).</w:t>
      </w:r>
    </w:p>
    <w:p>
      <w:r>
        <w:rPr>
          <w:b/>
        </w:rPr>
        <w:t>E. 4.2</w:t>
      </w:r>
    </w:p>
    <w:p>
      <w:r>
        <w:t>Der Beschwerdeführer kritisiert den zitierten Entscheid. Ausgangspunkt der nach Art. 20 Abs. 2 BVV 2 allenfalls bestehenden Leistungspflicht der beruflichen Vorsorge sei der zugesprochene scheidungsrechtliche Unterhaltsanspruch. Leistungen der beruflichen Vorsorge könnten nicht höher sein als das damit geschützte berufliche Einkommen bzw. - im Fall der geschiedenen Frau - die scheidungsrechtliche Unterhaltsverpflichtung des Verstorbenen. Deren Umfang könne bei erheblicher Änderung der finanziellen Verhältnisse angepasst werden (Art. 128 f. ZGB; aArt. 153 Abs. 2 ZGB). Zu einer solchen Änderung trage namentlich auch die Auszahlung einer AHV-Altersrente an die unterhaltsberechtigte Person bei. Sei aber die AHV-Altersrente für die Höhe des scheidungsrechtlichen Unterhaltsanspruchs (mit-)massgebend, müsse sie auch im Rahmen von Art. 20 Abs. 2 BVV 2 Berücksichtigung finden, andernfalls der "koordinationsrechtliche" Zweck dieser Norm verfehlt werde. Die bundesgerichtliche Auffassung, wonach die Altersrente nicht anzurechnen sei, widerspreche dem Wortlaut von Art. 20 Abs. 2 BVV 2 und führe zu einer Ungleichbehandlung der geschiedenen Person je nachdem, ob sie beim Tod ihres ehemaligen Ehegatten vor oder nach dem AHV-Rentenalter steht: Im ersten Fall werde ihr der auf dem Scheidungsurteil beruhende Versorgerschaden über die AHV-Witwen-/Witwerrente ausgeglichen, jedoch ohne oder mit reduzierter Rente aus beruflicher Vorsorge. Nach dem AHV-Alter dagegen würde sie den Versorgerschaden durch die Rente der beruflichen Vorsorge vollständig ausgeglichen erhalten, zusätzlich aber auch die AHV-Altersrente beziehen.</w:t>
      </w:r>
    </w:p>
    <w:p>
      <w:r>
        <w:rPr>
          <w:b/>
        </w:rPr>
        <w:t>E. 4.3.1</w:t>
      </w:r>
    </w:p>
    <w:p>
      <w:r>
        <w:t>Nach dem - insoweit klaren - Wortlaut von Art. 20 Abs. 2 BVV 2 werden die "Leistungen der übrigen Versicherungen, insbesondere AHV und IV" angerechnet. Eine Einschränkung auf AHV- Hinterlassenenrenten unter Ausschluss der AHV-Altersrenten ist dem Wortlaut nicht zu entnehmen. Vom klaren Wortlaut einer Vorschrift kann indessen abgewichen werden, wenn dafür triftige Gründe bestehen. Solche Gründe können sich aus der Entstehungsgeschichte BGE 134 V 208 S. 219 der Bestimmung, aus ihrem Grund und Zweck oder aus dem Zusammenhang mit andern Vorschriften ergeben ( BGE 133 III 497 E. 4.1 S. 499; BGE 132 III 18 E. 4.1 S. 20; BGE 132 V 321 E. 6.1 S. 326).</w:t>
      </w:r>
    </w:p>
    <w:p>
      <w:r>
        <w:rPr>
          <w:b/>
        </w:rPr>
        <w:t>E. 4.3.2</w:t>
      </w:r>
    </w:p>
    <w:p>
      <w:r>
        <w:t>Der Beschwerdeführer erblickt eine Bestärkung der wörtlichen Auslegung darin, dass in Art. 20 Abs. 2 BVV 2 nebst den AHV- auch die IV-Leistungen genannt sind. Da die Invalidenversicherung keine Hinterlassenenrenten kennt, kann es sich bei deren Leistungen von vornherein nur um solche handeln, die dem geschiedenen Ehegatten aus eigenem Recht zustehen. Indessen ist nicht ausgeschlossen, dass die IV-Rente durch den Tod des ehemaligen Ehegatten beeinflusst wird ( Art. 43 Abs. 1 IVG , Art. 24b AHVG ). Dass in Art. 20 Abs. 2 BVV auch die IV-Leistungen erwähnt sind, schliesst daher eine Auslegung nicht aus, wonach Leistungen nur anzurechnen sind, soweit sie durch den Todesfall beeinflusst werden (vgl. Urteil des Eidg. Versicherungsgerichts B 1/06 vom 2. Juni 2006; URS ENGLER, Unterhaltsbeitrag und BVG-Leistungen an geschiedene Frauen, in: BJM 1991 S. 169 ff., 176).</w:t>
      </w:r>
    </w:p>
    <w:p>
      <w:r>
        <w:rPr>
          <w:b/>
        </w:rPr>
        <w:t>E. 4.3.3</w:t>
      </w:r>
    </w:p>
    <w:p>
      <w:r>
        <w:t>Der Beschwerdeführer verweist sodann darauf, dass nach der Rechtsprechung zu Art. 24 Abs. 2 BVV 2 (Urteil B 91/06 vom 29. Juni 2007, E. 3.1, und Urteil des Eidg. Versicherungsgerichts B 14/01 vom 4. September 2001, E. 7) auch die AHV-Altersrente angerechnet wird, obwohl nach dem Wortlaut dieser Bestimmung ausdrücklich nur die Leistungen anzurechnen sind, die "aufgrund des schädigenden Ereignisses ausgerichtet werden". Diesbezüglich ist jedoch der unterschiedliche systematische Kontext des Art. 24 BVV 2 zu beachten: Art. 24 BVV 2 steht im Abschnitt betreffend Überentschädigung und Koordination mit anderen Sozialversicherungen. Die Überentschädigungsregelungen wollen vermeiden, dass der Versicherte nach dem versicherten Ereignis insgesamt besser dasteht als vorher, dies nicht zuletzt im Lichte der verfassungsrechtlichen Vorgaben, wonach die Leistungen der 1. und 2. Säule zusammen (nur) die Fortführung der gewohnten Lebenshaltung in angemessener Weise ermöglichen sollen ( Art. 113 Abs. 2 lit. a BV ); die Überentschädigungsregelung greift denn auch dann, wenn die Hinterlassenenleistungen (oder Invalidenleistungen) zusammen mit den andern anrechenbaren Einkünften 90 % des (gesamten) mutmasslich entgangenen Verdienstes übersteigen ( Art. 24 Abs. 1 BVV 2 ). Art. 20 BVV 2 steht demgegenüber im vorangehenden Abschnitt, welcher die grundsätzliche Höhe der Versicherungsleistung regelt, was einer allfälligen Kürzung wegen BGE 134 V 208 S. 220 Überentschädigung logisch vorangeht. Die Leistungen gemäss Art. 20 BVV 2 sind dabei von vornherein auf die Höhe des scheidungsrechtlichen Anspruchs begrenzt und damit in den meisten Fällen relativ bescheiden, so dass sich die Frage der Überentschädigung in aller Regel nicht stellt. Sollte dies doch einmal vorkommen, so wären selbstverständlich auch die nach Art. 20 BVV 2 berechneten Leistungen gegebenenfalls zusätzlich nach den Regeln von Art. 24 BVV 2 zu kürzen.</w:t>
      </w:r>
    </w:p>
    <w:p>
      <w:r>
        <w:rPr>
          <w:b/>
        </w:rPr>
        <w:t>E. 4.3.4</w:t>
      </w:r>
    </w:p>
    <w:p>
      <w:r>
        <w:t>Art. 20 BVV 2 stützt sich auf Art. 19 Abs. 3 BVG . Aus der Entstehungsgeschichte dieser Bestimmung in der ursprünglichen Fassung geht hervor, dass damit einerseits eine Anlehnung an die Regelung der AHV, andererseits eine Verhinderung von Missbräuchen infolge mehrmaliger Verheiratung und daheriger mehrfacher Leistungspflicht der beruflichen Vorsorge beabsichtigt war (BBl 1976 I 230; AB 1981 N 1048-1053; AB 1982 S 7f.; AB 1982 N 200). Der Bundesversammlung ging es darum, bei der AHV offenbar vorgekommene Missbräuche im Bereich der beruflichen Vorsorge zu vermeiden und eine echte Versorgerschadenregelung einzuführen (MARKUS MOSER, Die zweite Säule und ihre Tragfähigkeit, Basel 1993, S. 147 f.; HANS MICHAEL RIEMER, Familienrechtliche Beziehungen als Leistungsvoraussetzungen gemäss AHVG/IVG, BVG-Obligatorium und freiwilliger beruflicher Vorsorge, in: SZS 1986 S. 169 ff., 181). Die Neufassung von Art. 19 Abs. 3 BVG im Rahmen der 1. BVG-Revision bezweckte nur die Gleichstellung geschiedener Ehemänner und Ehefrauen, brachte sonst aber keine Änderung (BBl 1999 S. 2691). Entsprechend dieser gesetzgeberischen Absicht beschränkte der Bundesrat in Art. 20 Abs. 2 BVV 2 den Anspruch der geschiedenen Frau auf den Versorgerschaden, der in der Regel tiefer liegt als die Leistung, welche die nicht geschiedene Witwe erhalten würde.</w:t>
      </w:r>
    </w:p>
    <w:p>
      <w:r>
        <w:rPr>
          <w:b/>
        </w:rPr>
        <w:t>E. 4.4</w:t>
      </w:r>
    </w:p>
    <w:p>
      <w:r>
        <w:t>Vor diesem Hintergrund ist das Urteil B 6/99 vom 11. Juni 2001 zu bestätigen, wonach es sich bei der Leistung gemäss Art. 20 BVV 2 um einen Ersatz für den Versorgerschaden handelt (vgl. E. 4.1 hievor), betragsmässig beschränkt auf den scheidungsrechtlich zugesprochenen Anspruch (Urteil des Eidg. Versicherungsgerichts B 30/93 vom 21. April 1994, E. 3a, publ. in: SZS 1995 S. 137). Auf dieser Grundlage ist es systemgerecht, die AHV-Altersrente nicht anzurechnen bzw. - so auch das Urteil B 1/06 vom 2. Juni 2006, auf das sich der Beschwerdeführer beruft - nur BGE 134 V 208 S. 221 insoweit, als sie durch den Eintritt des versicherten Ereignisses in der Höhe beeinflusst wird: Idealtypisch setzt sich das Einkommen des geschiedenen, unterhaltsberechtigten Ehegatten aus den Unterhaltsleistungen des ehemaligen Ehegatten und aus dem eigenen Erwerbseinkommen zusammen. Stirbt der unterhaltspflichtige ehemalige Ehegatte vor dem Pensionierungsalter des unterhaltsberechtigten, so erhält dieser allenfalls eine AHV-Hinterlassenenrente ( Art. 24a AHVG ), welche den Wegfall der Unterhaltsleistung kompensiert (und bei der Berechnung der Rente aus beruflicher Vorsorge entsprechend anzurechnen ist); daneben kann weiterhin eine eigene Erwerbstätigkeit ausgeübt werden. Anders verhält es sich, wenn die geschiedene Person im Zeitpunkt des Todes ihres ehemaligen Ehegatten das AHV-Alter erreicht hat: Die ab jenem Zeitpunkt ausgerichtete AHV-Altersrente ersetzt (im Unterschied zur AHV-Hinterlassenenrente) nicht den Wegfall des Unterhaltsanspruchs, sondern den altersbedingten Verlust des eigenen Erwerbseinkommens; sie steht der geschiedenen Person auch dann zu, wenn sie keinen Anspruch auf scheidungsrechtliche Unterhaltsleistungen hat. Ist aber die Altersrente kein Ersatz für den weggefallenen Versorgerschaden, muss dieser durch die Hinterlassenenleistungen der beruflichen Vorsorge abgedeckt werden (vgl. Urteil B 6/99 vom 11. Juni 2001, E. 3c). Dass die geschiedene Person nebst dem Ausgleich des Versorgerschadens die Altersrente erhält und insoweit versicherungsrechtlich anders gestellt ist als vor Erreichen des AHV-Alters, stellt keine systemwidrige Besonderheit dar; die Altersrente wird allen Versicherten an Stelle des weggefallenen Erwerbseinkommens und zusätzlich zu allfälligen anderen Einkommen ausgerichtet.</w:t>
      </w:r>
    </w:p>
    <w:p>
      <w:r>
        <w:rPr>
          <w:b/>
        </w:rPr>
        <w:t>E. 4.5</w:t>
      </w:r>
    </w:p>
    <w:p>
      <w:r>
        <w:t>Im Sinne vorstehender Erwägungen haben auch der Bundesrat bzw. das Bundesamt für Sozialversicherungen (BSV) immer den Standpunkt vertreten, Art. 20 Abs. 2 BVV gelte nur für kongruente Leistungen, d.h. Leistungen, die durch den Tod des ehemaligen Ehegatten ausgelöst werden; nicht dazu gehöre die auf einem anderen Versicherungsfall basierende Altersrente der AHV, es sei denn, diese erfahre durch den Tod des geschiedenen Mannes eine Erhöhung (Mitteilungen des BSV über die berufliche Vorsorge Nr. 1 vom 24. Oktober 1986, Ziff. 2.; Botschaft des Bundesrates vom 15. November 1995 über die Änderung des ZGB, BBl 1996 I 101). Gleicher Auffassung ist die mehrheitliche Lehre (ENGLER, a.a.O., S. 176; MOSER, a.a.O., S. 153; a.M. GERHARD BGE 134 V 208 S. 222 GERHARDS, Grundriss 2. Säule, Bern 1990, S. 76, allerdings ausgehend von unzutreffenden Grundlagen), ebenso die von der Kommission für Soziale Fragen der Schweizerischen Vereinigung privater Lebensversicherer herausgegebene BVG-Fibel (2. Aufl., 1991, S. 66 f.). Es trifft zwar zu, dass damit die Vorsorgeeinrichtung möglicherweise für den gleichen Versicherten Hinterlassenenrenten für mehrere Ehegatten bezahlen muss, doch hat der Gesetzgeber diese Doppelbelastung offenbar als zumutbar erachtet (AB 1981 N 1051 f., Berichterstatter Barchi). Sie ist zudem insofern beschränkt, als von Bundesrechts wegen kein Anspruch auf mehr als das BVG-Obligatorium besteht (vgl. vorne E. 3). An der Rechtsprechung gemäss Urteil B 6/99 vom 11. Juni 2001 ist daher entgegen der Auffassung des Beschwerdeführers festzuhalten.</w:t>
      </w:r>
    </w:p>
    <w:p>
      <w:r>
        <w:rPr>
          <w:b/>
        </w:rPr>
        <w:t>E. 5</w:t>
      </w:r>
    </w:p>
    <w:p>
      <w:r>
        <w:t>Der Beschwerdeführer beanstandet schliesslich die Höhe der scheidungsrechtlichen Unterhaltsrente; diese betrage richtigerweise nicht Fr. 1'530.40, sondern nur Fr. 1'400.- pro Monat. Höchstens bis zum letztgenannten Betrag könne daher eine Rente der beruflichen Vorsorge geschuldet sein. Es ist unbestritten, dass der geschiedene Ehemann der Beschwerdegegnerin verpflichtet war, ihr eine indexierte Rente von Fr. 1'200.- (Indexstand 31. Dezember 1989) zu bezahlen, und dies per 1. Januar 2004 einer Rente von Fr. 1'530.40 entspricht. Ebenfalls unbestritten ist, dass der geschiedene Ehemann in der Zeit vor seinem Tod im Jahre 2004 lediglich eine Rente von Fr. 1'400.- bezahlt hatte. Der Beschwerdeführer macht geltend, durch stillschweigende Übereinkunft zwischen den geschiedenen Eheleuten sei die Rente auf diese Höhe plafoniert worden. Die Vorinstanz hat indessen festgestellt, dass die ehemaligen Ehegatten den Anspruch nicht einvernehmlich auf Fr. 1'400.- gekürzt hatten, sondern seitens der Klägerin lediglich darauf verzichtet wurde, rechtliche Schritte gegen die Missachtung der Indexierung einzuleiten. Diese Sachverhaltsfeststellung ist für das Bundesgericht verbindlich ( Art. 105 BGG ). Massgebend für den Umfang des Anspruchs ist der im Scheidungsurteil oder allenfalls in einem Abänderungsurteil festgelegte Betrag, ungeachtet allenfalls davon abweichender tatsächlicher Zahlungen (Urteil B 30/93 vom 21. April 1994, E. 3a, publ. in: SZS 1995 S. 137).</w:t>
      </w:r>
    </w:p>
    <w:p>
      <w:r>
        <w:rPr>
          <w:b/>
        </w:rPr>
        <w:t>E. 6</w:t>
      </w:r>
    </w:p>
    <w:p>
      <w:r>
        <w:t>Zusammenfassend ergibt sich, dass der Beschwerdeführer der Beschwerdegegnerin eine Rente in der Höhe des BGE 134 V 208 S. 223 BVG-Obligatoriums, höchstens aber Fr. 1'530.40 pro Monat schuldet, wovon die AHV-Altersrente der Beschwerdegegnerin nicht abzuziehen ist. Die Höhe der obligatorischen BVG-Rente ist nicht liquid: Mit Schreiben vom 4. Januar 2005 hatte der Beschwerdeführer eine Rente von monatlich Fr. 684.50 in Aussicht gestellt. Mit Schreiben vom 5. Januar 2005 war diese auf Fr. 787.45 korrigiert worden. In der vorinstanzlichen Klageantwort errechnete er alsdann eine Rente von Fr. 6'632.55 pro Jahr bzw. Fr. 552.70 pro Monat, welche Berechnung von der heutigen Beschwerdegegnerin replikweise bestritten wurde. Die Vorinstanz hatte aufgrund ihrer Rechtsauffassung keinen Anlass, die Höhe im Einzelnen zu überprüfen. Gestützt auf das heutige Urteil wird sie dies vorzunehmen haben.</w:t>
      </w:r>
    </w:p>
    <w:p>
      <w:r>
        <w:rPr>
          <w:b/>
        </w:rPr>
        <w:t>E. 7</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